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Корпоративная культура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«Корпоративная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нормы профессиональной этики, корпоративного управления и корпоративной культуры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«Корпоративная культура»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Корпоративной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72.11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этика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Корпоративной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«Корпоративная культура»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Кришталь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элемент</w:t>
            </w:r>
            <w:r>
              <w:rPr/>
              <w:t xml:space="preserve"> </w:t>
            </w:r>
            <w:r>
              <w:rPr>
                <w:rFonts w:ascii="Times New Roman" w:hAnsi="Times New Roman" w:cs="Times New Roman"/>
                <w:color w:val="#000000"/>
                <w:sz w:val="24"/>
                <w:szCs w:val="24"/>
              </w:rPr>
              <w:t>глобального</w:t>
            </w:r>
            <w:r>
              <w:rPr/>
              <w:t xml:space="preserve"> </w:t>
            </w:r>
            <w:r>
              <w:rPr>
                <w:rFonts w:ascii="Times New Roman" w:hAnsi="Times New Roman" w:cs="Times New Roman"/>
                <w:color w:val="#000000"/>
                <w:sz w:val="24"/>
                <w:szCs w:val="24"/>
              </w:rPr>
              <w:t>инкорпорирования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http://www.iprbookshop.ru/80615.html</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https://urait.ru/bcode/451227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978-5-7782-3751-3.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http://www.iprbookshop.ru/99244.html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978-5-4497-1322-3.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http://www.iprbookshop.ru/109496.html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3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23.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2023-2024_ФГОС3++2023_Маг-ОФО-ФиК(УФиИ)(23)_plx_Корпоративная культура</dc:title>
  <dc:creator>FastReport.NET</dc:creator>
</cp:coreProperties>
</file>